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lang w:eastAsia="zh-CN"/>
        </w:rPr>
      </w:pPr>
      <w:bookmarkStart w:id="1" w:name="_GoBack"/>
      <w:bookmarkStart w:id="0" w:name="_Toc6698"/>
      <w:r>
        <w:rPr>
          <w:rFonts w:hint="eastAsia" w:ascii="黑体" w:eastAsia="黑体"/>
          <w:sz w:val="28"/>
          <w:szCs w:val="28"/>
        </w:rPr>
        <w:t>研究项目的受理</w:t>
      </w:r>
      <w:bookmarkEnd w:id="0"/>
    </w:p>
    <w:bookmarkEnd w:id="1"/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目的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为使伦理委员会办公室对送审材料的形式审查、发送补充</w:t>
      </w:r>
      <w:r>
        <w:rPr>
          <w:szCs w:val="21"/>
        </w:rPr>
        <w:t>/</w:t>
      </w:r>
      <w:r>
        <w:rPr>
          <w:rFonts w:hint="eastAsia"/>
          <w:szCs w:val="21"/>
        </w:rPr>
        <w:t>修改或受理通知、送审文件管理工作有章可循，特制订本规定，以保证研究项目送审管理的受理阶段的工作质量。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范围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适用于研究项目送审管理的受理阶段的工作。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 w:ascii="黑体" w:eastAsia="黑体"/>
          <w:b/>
          <w:szCs w:val="21"/>
        </w:rPr>
        <w:t>职责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伦理委员会秘书负责研究项目受理工作。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对研究项目送审材料进行形式审查。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根据形式审查结果，</w:t>
      </w:r>
      <w:r>
        <w:rPr>
          <w:szCs w:val="21"/>
        </w:rPr>
        <w:t>5</w:t>
      </w:r>
      <w:r>
        <w:rPr>
          <w:rFonts w:hint="eastAsia"/>
          <w:szCs w:val="21"/>
        </w:rPr>
        <w:t>个工作日内发送补充</w:t>
      </w:r>
      <w:r>
        <w:rPr>
          <w:szCs w:val="21"/>
        </w:rPr>
        <w:t>/</w:t>
      </w:r>
      <w:r>
        <w:rPr>
          <w:rFonts w:hint="eastAsia"/>
          <w:szCs w:val="21"/>
        </w:rPr>
        <w:t>修改送审材料通知，或受理通知。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对受理的送审文件进行建档</w:t>
      </w:r>
      <w:r>
        <w:rPr>
          <w:szCs w:val="21"/>
        </w:rPr>
        <w:t>/</w:t>
      </w:r>
      <w:r>
        <w:rPr>
          <w:rFonts w:hint="eastAsia"/>
          <w:szCs w:val="21"/>
        </w:rPr>
        <w:t>存档、待审的管理。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操作细则</w:t>
      </w:r>
    </w:p>
    <w:p>
      <w:pPr>
        <w:pStyle w:val="6"/>
        <w:spacing w:line="360" w:lineRule="auto"/>
        <w:ind w:firstLine="0" w:firstLineChars="0"/>
        <w:rPr>
          <w:szCs w:val="21"/>
        </w:rPr>
      </w:pPr>
      <w:r>
        <w:rPr>
          <w:szCs w:val="21"/>
        </w:rPr>
        <w:t>4.1</w:t>
      </w:r>
      <w:r>
        <w:rPr>
          <w:rFonts w:hint="eastAsia"/>
          <w:szCs w:val="21"/>
        </w:rPr>
        <w:t>申请和受理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指导研究者如何提交研究项目的伦理审查申请</w:t>
      </w:r>
      <w:r>
        <w:rPr>
          <w:szCs w:val="21"/>
        </w:rPr>
        <w:t>/</w:t>
      </w:r>
      <w:r>
        <w:rPr>
          <w:rFonts w:hint="eastAsia"/>
          <w:szCs w:val="21"/>
        </w:rPr>
        <w:t>报告，参照</w:t>
      </w:r>
      <w:r>
        <w:rPr>
          <w:rFonts w:hint="eastAsia" w:ascii="Times New Roman" w:hAnsi="Times New Roman"/>
          <w:szCs w:val="21"/>
          <w:lang w:eastAsia="zh-CN"/>
        </w:rPr>
        <w:t>IRB-ZN-01-00</w:t>
      </w:r>
      <w:r>
        <w:rPr>
          <w:rFonts w:hint="eastAsia"/>
          <w:szCs w:val="21"/>
        </w:rPr>
        <w:t>伦理审查申请指南执行。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4.2</w:t>
      </w:r>
      <w:r>
        <w:rPr>
          <w:rFonts w:hint="eastAsia"/>
          <w:szCs w:val="21"/>
        </w:rPr>
        <w:t>形式审查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申请类别：正确选择伦理审查申请类别：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初始审查申请，修正案审查申请。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研究进展报告，严重不良事件报告，违背方案报告，暂停</w:t>
      </w:r>
      <w:r>
        <w:rPr>
          <w:szCs w:val="21"/>
        </w:rPr>
        <w:t>/</w:t>
      </w:r>
      <w:r>
        <w:rPr>
          <w:rFonts w:hint="eastAsia"/>
          <w:szCs w:val="21"/>
        </w:rPr>
        <w:t>终止研究报告，结题报告。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复审申请。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送审文件的完整性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根据送审文件清单的不同伦理审查申请类别，审核送审文件是否齐全。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多中心临床研究，本院为组长单位，研究进展报告应报告各中心的研究进展情况。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其他中心发生的非预期的药物严重不良事件，送审文件需包括该中心的伦理审查意见（如有）。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研究项目书面文件的名称与电子文件一致。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送审文件的要点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申请</w:t>
      </w:r>
      <w:r>
        <w:rPr>
          <w:szCs w:val="21"/>
        </w:rPr>
        <w:t>/</w:t>
      </w:r>
      <w:r>
        <w:rPr>
          <w:rFonts w:hint="eastAsia"/>
          <w:szCs w:val="21"/>
        </w:rPr>
        <w:t>报告表填写正确、完整，研究者签名并注明日期。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研究方案、知情同意书、招募材料的版本号</w:t>
      </w:r>
      <w:r>
        <w:rPr>
          <w:szCs w:val="21"/>
        </w:rPr>
        <w:t>/</w:t>
      </w:r>
      <w:r>
        <w:rPr>
          <w:rFonts w:hint="eastAsia"/>
          <w:szCs w:val="21"/>
        </w:rPr>
        <w:t>版本日期标注正确，若修正方案或知情同意书或招募材料应更新版本号</w:t>
      </w:r>
      <w:r>
        <w:rPr>
          <w:szCs w:val="21"/>
        </w:rPr>
        <w:t>/</w:t>
      </w:r>
      <w:r>
        <w:rPr>
          <w:rFonts w:hint="eastAsia"/>
          <w:szCs w:val="21"/>
        </w:rPr>
        <w:t>版本日期；方案应有摘要。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研究方案摘要的要素符合</w:t>
      </w:r>
      <w:r>
        <w:rPr>
          <w:rFonts w:ascii="Times New Roman" w:hAnsi="Times New Roman"/>
          <w:szCs w:val="21"/>
        </w:rPr>
        <w:t>GCP</w:t>
      </w:r>
      <w:r>
        <w:rPr>
          <w:rFonts w:hint="eastAsia"/>
          <w:szCs w:val="21"/>
        </w:rPr>
        <w:t>规定。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知情同意书的要素符合</w:t>
      </w:r>
      <w:r>
        <w:rPr>
          <w:rFonts w:ascii="Times New Roman" w:hAnsi="Times New Roman"/>
          <w:szCs w:val="21"/>
        </w:rPr>
        <w:t>GCP</w:t>
      </w:r>
      <w:r>
        <w:rPr>
          <w:rFonts w:hint="eastAsia"/>
          <w:szCs w:val="21"/>
        </w:rPr>
        <w:t>规定。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研究者经过</w:t>
      </w:r>
      <w:r>
        <w:rPr>
          <w:rFonts w:ascii="Times New Roman" w:hAnsi="Times New Roman"/>
          <w:szCs w:val="21"/>
        </w:rPr>
        <w:t>GCP</w:t>
      </w:r>
      <w:r>
        <w:rPr>
          <w:rFonts w:hint="eastAsia"/>
          <w:szCs w:val="21"/>
        </w:rPr>
        <w:t>培训。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主要研究者和履历信息齐全，确认已更新，本人签名并注明日期。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研究人员名单及分工表信息齐全。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研究者根据“补充</w:t>
      </w:r>
      <w:r>
        <w:rPr>
          <w:szCs w:val="21"/>
        </w:rPr>
        <w:t>/</w:t>
      </w:r>
      <w:r>
        <w:rPr>
          <w:rFonts w:hint="eastAsia"/>
          <w:szCs w:val="21"/>
        </w:rPr>
        <w:t>修改送审材料通知”的再次送审，则根据审核补充</w:t>
      </w:r>
      <w:r>
        <w:rPr>
          <w:szCs w:val="21"/>
        </w:rPr>
        <w:t>/</w:t>
      </w:r>
      <w:r>
        <w:rPr>
          <w:rFonts w:hint="eastAsia"/>
          <w:szCs w:val="21"/>
        </w:rPr>
        <w:t>修改送审文件的完整性和要素。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4.2 </w:t>
      </w:r>
      <w:r>
        <w:rPr>
          <w:rFonts w:hint="eastAsia"/>
          <w:szCs w:val="21"/>
        </w:rPr>
        <w:t>补充</w:t>
      </w:r>
      <w:r>
        <w:rPr>
          <w:szCs w:val="21"/>
        </w:rPr>
        <w:t>/</w:t>
      </w:r>
      <w:r>
        <w:rPr>
          <w:rFonts w:hint="eastAsia"/>
          <w:szCs w:val="21"/>
        </w:rPr>
        <w:t>修改，受理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补充</w:t>
      </w:r>
      <w:r>
        <w:rPr>
          <w:szCs w:val="21"/>
        </w:rPr>
        <w:t>/</w:t>
      </w:r>
      <w:r>
        <w:rPr>
          <w:rFonts w:hint="eastAsia"/>
          <w:szCs w:val="21"/>
        </w:rPr>
        <w:t>修改送审材料通知：送审文件不完整，</w:t>
      </w:r>
      <w:r>
        <w:rPr>
          <w:szCs w:val="21"/>
        </w:rPr>
        <w:t xml:space="preserve"> 5</w:t>
      </w:r>
      <w:r>
        <w:rPr>
          <w:rFonts w:hint="eastAsia"/>
          <w:szCs w:val="21"/>
        </w:rPr>
        <w:t>个工作日内发送补充</w:t>
      </w:r>
      <w:r>
        <w:rPr>
          <w:szCs w:val="21"/>
        </w:rPr>
        <w:t>/</w:t>
      </w:r>
      <w:r>
        <w:rPr>
          <w:rFonts w:hint="eastAsia"/>
          <w:szCs w:val="21"/>
        </w:rPr>
        <w:t>修改送审材料通知，告知缺项文件、缺陷的要素，以及最近的审查会议日期。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受理通知：送审文件的完整性通过形式审查，</w:t>
      </w:r>
      <w:r>
        <w:rPr>
          <w:szCs w:val="21"/>
        </w:rPr>
        <w:t>5</w:t>
      </w:r>
      <w:r>
        <w:rPr>
          <w:rFonts w:hint="eastAsia"/>
          <w:szCs w:val="21"/>
        </w:rPr>
        <w:t>个工作日内发送受理通知，并告知预定审查日期：受理通知标注受理号。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受理号的编码规则：格式为：</w:t>
      </w:r>
      <w:r>
        <w:rPr>
          <w:rFonts w:ascii="Times New Roman" w:hAnsi="Times New Roman"/>
          <w:szCs w:val="21"/>
        </w:rPr>
        <w:t>IRB-20</w:t>
      </w:r>
      <w:r>
        <w:rPr>
          <w:rFonts w:hint="eastAsia" w:ascii="Times New Roman" w:hAnsi="Times New Roman"/>
          <w:szCs w:val="21"/>
        </w:rPr>
        <w:t>××</w:t>
      </w:r>
      <w:r>
        <w:rPr>
          <w:rFonts w:ascii="Times New Roman" w:hAnsi="Times New Roman"/>
          <w:szCs w:val="21"/>
        </w:rPr>
        <w:t>-AAA-BB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编码规则说明：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主字段：“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××“为</w:t>
      </w:r>
      <w:r>
        <w:rPr>
          <w:rFonts w:hint="eastAsia"/>
          <w:szCs w:val="21"/>
        </w:rPr>
        <w:t>首次送审的年份，同一项目该字段不变。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项目序列字段：“</w:t>
      </w:r>
      <w:r>
        <w:rPr>
          <w:rFonts w:ascii="Times New Roman" w:hAnsi="Times New Roman"/>
          <w:szCs w:val="21"/>
        </w:rPr>
        <w:t>-AAA</w:t>
      </w:r>
      <w:r>
        <w:rPr>
          <w:rFonts w:hint="eastAsia" w:ascii="Times New Roman" w:hAnsi="Times New Roman"/>
          <w:szCs w:val="21"/>
        </w:rPr>
        <w:t>”</w:t>
      </w:r>
      <w:r>
        <w:rPr>
          <w:rFonts w:hint="eastAsia"/>
          <w:szCs w:val="21"/>
        </w:rPr>
        <w:t>为该年度受理的初始审查项目的序列号，同一项目该字段不变。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后缀字段：“</w:t>
      </w:r>
      <w:r>
        <w:rPr>
          <w:rFonts w:ascii="Times New Roman" w:hAnsi="Times New Roman"/>
          <w:szCs w:val="21"/>
        </w:rPr>
        <w:t>-BB</w:t>
      </w:r>
      <w:r>
        <w:rPr>
          <w:rFonts w:hint="eastAsia"/>
          <w:szCs w:val="21"/>
        </w:rPr>
        <w:t>”为同一项目历次送审受理的序列号。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4.3 </w:t>
      </w:r>
      <w:r>
        <w:rPr>
          <w:rFonts w:hint="eastAsia"/>
          <w:szCs w:val="21"/>
        </w:rPr>
        <w:t>项目送审的管理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送审项目登记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建立“送审项目登记”电子文件，信息字段包括（但不限于）：项目名称，研究者，申请类别，受理号，受理日期，审查方式，审查日期，既往审查决定及决定文件签发日期，跟踪审查截止日期。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按审查进程，及时记录送审项目的相关信息。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建档</w:t>
      </w:r>
      <w:r>
        <w:rPr>
          <w:szCs w:val="21"/>
        </w:rPr>
        <w:t>/</w:t>
      </w:r>
      <w:r>
        <w:rPr>
          <w:rFonts w:hint="eastAsia"/>
          <w:szCs w:val="21"/>
        </w:rPr>
        <w:t>存档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首次送审文件按项目建档。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再次送审文件按项目存档。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相关文件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IRB-ZN-01-00</w:t>
      </w:r>
      <w:r>
        <w:rPr>
          <w:rFonts w:hint="eastAsia"/>
          <w:szCs w:val="21"/>
        </w:rPr>
        <w:t>伦理审查申请指南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附件表格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IRB-AF-08-00</w:t>
      </w:r>
      <w:r>
        <w:rPr>
          <w:rFonts w:hint="eastAsia"/>
          <w:szCs w:val="21"/>
        </w:rPr>
        <w:t>送审文件清单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IRB-AF-17-00</w:t>
      </w:r>
      <w:r>
        <w:rPr>
          <w:rFonts w:hint="eastAsia"/>
          <w:szCs w:val="21"/>
        </w:rPr>
        <w:t>补充</w:t>
      </w:r>
      <w:r>
        <w:rPr>
          <w:szCs w:val="21"/>
        </w:rPr>
        <w:t>/</w:t>
      </w:r>
      <w:r>
        <w:rPr>
          <w:rFonts w:hint="eastAsia"/>
          <w:szCs w:val="21"/>
        </w:rPr>
        <w:t>修改送审材料通知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  <w:sectPr>
          <w:headerReference r:id="rId3" w:type="default"/>
          <w:pgSz w:w="11906" w:h="16838"/>
          <w:pgMar w:top="1440" w:right="1800" w:bottom="1843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Cs w:val="21"/>
          <w:lang w:eastAsia="zh-CN"/>
        </w:rPr>
        <w:t>IRB-AF-18-00</w:t>
      </w:r>
      <w:r>
        <w:rPr>
          <w:rFonts w:hint="eastAsia"/>
          <w:szCs w:val="21"/>
        </w:rPr>
        <w:t>受理通知</w:t>
      </w:r>
    </w:p>
    <w:p>
      <w:pPr>
        <w:widowControl/>
        <w:spacing w:line="360" w:lineRule="auto"/>
        <w:jc w:val="lef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hint="eastAsia" w:ascii="宋体" w:hAnsi="宋体"/>
        <w:lang w:eastAsia="zh-CN"/>
      </w:rPr>
      <w:t>北京裕和中西医结合康复医院</w:t>
    </w:r>
    <w:r>
      <w:rPr>
        <w:rFonts w:hint="eastAsia" w:ascii="宋体" w:hAnsi="宋体"/>
      </w:rPr>
      <w:t>医学伦理委员会</w:t>
    </w:r>
  </w:p>
  <w:p>
    <w:pPr>
      <w:pStyle w:val="3"/>
      <w:jc w:val="right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</w:p>
  <w:p>
    <w:pPr>
      <w:pStyle w:val="3"/>
      <w:jc w:val="right"/>
      <w:rPr>
        <w:rFonts w:hint="eastAsia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64B"/>
    <w:multiLevelType w:val="multilevel"/>
    <w:tmpl w:val="201D26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B4A3496"/>
    <w:multiLevelType w:val="multilevel"/>
    <w:tmpl w:val="3B4A34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6156D4E"/>
    <w:multiLevelType w:val="multilevel"/>
    <w:tmpl w:val="66156D4E"/>
    <w:lvl w:ilvl="0" w:tentative="0">
      <w:start w:val="1"/>
      <w:numFmt w:val="bullet"/>
      <w:lvlText w:val=""/>
      <w:lvlJc w:val="left"/>
      <w:pPr>
        <w:ind w:left="127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9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1" w:hanging="420"/>
      </w:pPr>
      <w:rPr>
        <w:rFonts w:hint="default" w:ascii="Wingdings" w:hAnsi="Wingdings"/>
      </w:rPr>
    </w:lvl>
  </w:abstractNum>
  <w:abstractNum w:abstractNumId="3">
    <w:nsid w:val="71C85527"/>
    <w:multiLevelType w:val="multilevel"/>
    <w:tmpl w:val="71C8552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4680DDE"/>
    <w:multiLevelType w:val="multilevel"/>
    <w:tmpl w:val="74680DDE"/>
    <w:lvl w:ilvl="0" w:tentative="0">
      <w:start w:val="1"/>
      <w:numFmt w:val="bullet"/>
      <w:lvlText w:val="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7A8E708E"/>
    <w:multiLevelType w:val="multilevel"/>
    <w:tmpl w:val="7A8E708E"/>
    <w:lvl w:ilvl="0" w:tentative="0">
      <w:start w:val="1"/>
      <w:numFmt w:val="bullet"/>
      <w:lvlText w:val="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2020-04-07T10:01:43Z</dcterms:created>
  <dc:creator>Administrator.YAOJIANXI</dc:creator>
  <cp:lastModifiedBy>姚建茜</cp:lastModifiedBy>
  <dcterms:modified xsi:type="dcterms:W3CDTF">2020-04-07T10:02:52Z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